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9E" w:rsidRDefault="00C41D9E" w:rsidP="00C41D9E">
      <w:pPr>
        <w:keepLines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41D9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Придбання природнього газу</w:t>
      </w:r>
    </w:p>
    <w:p w:rsidR="00C41D9E" w:rsidRPr="00C41D9E" w:rsidRDefault="00C41D9E" w:rsidP="00C41D9E">
      <w:pPr>
        <w:suppressAutoHyphens w:val="0"/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ідентифікатором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:        </w:t>
      </w:r>
      <w:hyperlink r:id="rId5" w:tgtFrame="_blank" w:tooltip="Оголошення на порталі Уповноваженого органу" w:history="1">
        <w:r w:rsidRPr="00C41D9E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val="uk-UA" w:eastAsia="uk-UA"/>
          </w:rPr>
          <w:t>UA</w:t>
        </w:r>
        <w:r w:rsidRPr="00C41D9E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t>-2021-02-12-004489-a</w:t>
        </w:r>
      </w:hyperlink>
    </w:p>
    <w:p w:rsidR="00C41D9E" w:rsidRPr="00C41D9E" w:rsidRDefault="00C41D9E" w:rsidP="00C41D9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41D9E" w:rsidRPr="00C41D9E" w:rsidRDefault="00C41D9E" w:rsidP="00C41D9E">
      <w:pPr>
        <w:keepLines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1D9E" w:rsidRPr="00526388" w:rsidRDefault="00C41D9E" w:rsidP="00C41D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D9E" w:rsidRPr="00526388" w:rsidRDefault="00C41D9E" w:rsidP="00C41D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3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ТЕХНІЧНЕ ЗАВДАННЯ</w:t>
      </w:r>
    </w:p>
    <w:p w:rsidR="00C41D9E" w:rsidRPr="00526388" w:rsidRDefault="00C41D9E" w:rsidP="00C41D9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proofErr w:type="spellStart"/>
      <w:proofErr w:type="gram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:  код</w:t>
      </w:r>
      <w:proofErr w:type="gram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ДК 021:2015 –  09120000-6 -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Газове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газ)</w:t>
      </w:r>
    </w:p>
    <w:p w:rsidR="00C41D9E" w:rsidRPr="00526388" w:rsidRDefault="00C41D9E" w:rsidP="00C41D9E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tbl>
      <w:tblPr>
        <w:tblW w:w="9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1230"/>
        <w:gridCol w:w="1180"/>
        <w:gridCol w:w="1701"/>
        <w:gridCol w:w="1698"/>
      </w:tblGrid>
      <w:tr w:rsidR="00C41D9E" w:rsidRPr="00526388" w:rsidTr="00BE4CF2">
        <w:trPr>
          <w:trHeight w:val="5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D9E" w:rsidRPr="00526388" w:rsidRDefault="00C41D9E" w:rsidP="00BE4CF2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6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Найменування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D9E" w:rsidRPr="00526388" w:rsidRDefault="00C41D9E" w:rsidP="00BE4CF2">
            <w:pPr>
              <w:widowControl w:val="0"/>
              <w:snapToGrid w:val="0"/>
              <w:spacing w:after="0"/>
              <w:ind w:left="-108" w:right="-108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6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Одиниця</w:t>
            </w:r>
            <w:proofErr w:type="spellEnd"/>
            <w:r w:rsidRPr="00526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26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виміру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9E" w:rsidRPr="00526388" w:rsidRDefault="00C41D9E" w:rsidP="00BE4CF2">
            <w:pPr>
              <w:widowControl w:val="0"/>
              <w:snapToGrid w:val="0"/>
              <w:spacing w:after="0"/>
              <w:ind w:left="-108" w:right="-108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6388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>Кількість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D9E" w:rsidRPr="00526388" w:rsidRDefault="00C41D9E" w:rsidP="00BE4CF2">
            <w:pPr>
              <w:widowControl w:val="0"/>
              <w:snapToGrid w:val="0"/>
              <w:spacing w:after="0"/>
              <w:ind w:left="-108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6388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>Ціна</w:t>
            </w:r>
            <w:proofErr w:type="spellEnd"/>
            <w:r w:rsidRPr="00526388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526388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>одиницю</w:t>
            </w:r>
            <w:proofErr w:type="spellEnd"/>
            <w:r w:rsidRPr="00526388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>, з/без ПДВ грн.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9E" w:rsidRPr="00526388" w:rsidRDefault="00C41D9E" w:rsidP="00BE4CF2">
            <w:pPr>
              <w:widowControl w:val="0"/>
              <w:snapToGrid w:val="0"/>
              <w:spacing w:after="0"/>
              <w:ind w:left="-108" w:right="-108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6388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>Загальна</w:t>
            </w:r>
            <w:proofErr w:type="spellEnd"/>
            <w:r w:rsidRPr="00526388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 xml:space="preserve"> сума, </w:t>
            </w:r>
          </w:p>
          <w:p w:rsidR="00C41D9E" w:rsidRPr="00526388" w:rsidRDefault="00C41D9E" w:rsidP="00BE4CF2">
            <w:pPr>
              <w:widowControl w:val="0"/>
              <w:snapToGrid w:val="0"/>
              <w:spacing w:after="0"/>
              <w:ind w:left="-108" w:right="-108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</w:pPr>
            <w:r w:rsidRPr="00526388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>з/без ПДВ, грн.</w:t>
            </w:r>
          </w:p>
        </w:tc>
      </w:tr>
      <w:tr w:rsidR="00C41D9E" w:rsidRPr="00526388" w:rsidTr="00BE4CF2">
        <w:trPr>
          <w:trHeight w:val="65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41D9E" w:rsidRPr="00526388" w:rsidRDefault="00C41D9E" w:rsidP="00BE4C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ДК 021:2015 –  09120000-6 - </w:t>
            </w:r>
            <w:proofErr w:type="spellStart"/>
            <w:r w:rsidRPr="00526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Газове</w:t>
            </w:r>
            <w:proofErr w:type="spellEnd"/>
            <w:r w:rsidRPr="00526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паливо</w:t>
            </w:r>
            <w:proofErr w:type="spellEnd"/>
            <w:r w:rsidRPr="00526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6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Природний</w:t>
            </w:r>
            <w:proofErr w:type="spellEnd"/>
            <w:r w:rsidRPr="00526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газ</w:t>
            </w:r>
            <w:r w:rsidRPr="00526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1D9E" w:rsidRPr="00526388" w:rsidRDefault="00C41D9E" w:rsidP="00BE4CF2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63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тис.куб</w:t>
            </w:r>
            <w:proofErr w:type="spellEnd"/>
            <w:r w:rsidRPr="005263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. м.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9E" w:rsidRPr="00177897" w:rsidRDefault="00C41D9E" w:rsidP="00BE4CF2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uk-UA"/>
              </w:rPr>
              <w:t>70,12</w:t>
            </w:r>
          </w:p>
          <w:p w:rsidR="00C41D9E" w:rsidRPr="00526388" w:rsidRDefault="00C41D9E" w:rsidP="00BE4CF2">
            <w:pPr>
              <w:widowControl w:val="0"/>
              <w:tabs>
                <w:tab w:val="center" w:pos="482"/>
              </w:tabs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9E" w:rsidRPr="00FC3415" w:rsidRDefault="00C41D9E" w:rsidP="00BE4CF2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9E" w:rsidRPr="00FC3415" w:rsidRDefault="00C41D9E" w:rsidP="00BE4CF2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C41D9E" w:rsidRPr="00526388" w:rsidRDefault="00C41D9E" w:rsidP="00C41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D9E" w:rsidRPr="00526388" w:rsidRDefault="00C41D9E" w:rsidP="00C41D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.Технічні та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предмету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закуповується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стандартам,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передбаченим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діючими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</w:t>
      </w:r>
    </w:p>
    <w:p w:rsidR="00C41D9E" w:rsidRPr="00A24F45" w:rsidRDefault="00C41D9E" w:rsidP="00C41D9E">
      <w:pPr>
        <w:keepNext/>
        <w:suppressAutoHyphens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 w:rsidRPr="00A24F45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Відносини між Замовником та Учасником регулюються наступними нормативно-правовими актами:</w:t>
      </w:r>
    </w:p>
    <w:p w:rsidR="00C41D9E" w:rsidRPr="00A24F45" w:rsidRDefault="00C41D9E" w:rsidP="00C41D9E">
      <w:pPr>
        <w:keepNext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567" w:right="-1"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 w:rsidRPr="00A24F45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Закон України «Про публічні закупівлі» №922-VIII від  25.12.2015;</w:t>
      </w:r>
    </w:p>
    <w:p w:rsidR="00C41D9E" w:rsidRPr="00A24F45" w:rsidRDefault="00C41D9E" w:rsidP="00C41D9E">
      <w:pPr>
        <w:keepNext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567" w:right="-1"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 w:rsidRPr="00A24F45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Закон України «Про ринок природного газу» від 09.04.2015 № 329-VIII;</w:t>
      </w:r>
    </w:p>
    <w:p w:rsidR="00C41D9E" w:rsidRPr="00A24F45" w:rsidRDefault="00C41D9E" w:rsidP="00C41D9E">
      <w:pPr>
        <w:keepNext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567" w:right="-1"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 w:rsidRPr="00A24F45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   № 2496;</w:t>
      </w:r>
    </w:p>
    <w:p w:rsidR="00C41D9E" w:rsidRPr="00A24F45" w:rsidRDefault="00C41D9E" w:rsidP="00C41D9E">
      <w:pPr>
        <w:keepNext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567" w:right="-1" w:hanging="28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 w:rsidRPr="00A24F45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Інші нормативно-правові акти, прийняті на виконання Закону України «Про ринок природного газу»</w:t>
      </w:r>
    </w:p>
    <w:p w:rsidR="00C41D9E" w:rsidRPr="00526388" w:rsidRDefault="00C41D9E" w:rsidP="00C41D9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Фізико-хімічні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 природного,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постачають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Замовнику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газотранспортної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Кодексу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газорозподільних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Споживачу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балансової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належності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стандартами,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нормативно-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D9E" w:rsidRPr="00526388" w:rsidRDefault="00C41D9E" w:rsidP="00C41D9E">
      <w:pPr>
        <w:tabs>
          <w:tab w:val="left" w:pos="851"/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E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одиницю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виміру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газу при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приймається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тисяча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кубічних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метрів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тис.куб</w:t>
      </w:r>
      <w:proofErr w:type="spellEnd"/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м).</w:t>
      </w:r>
    </w:p>
    <w:p w:rsidR="00C41D9E" w:rsidRPr="00526388" w:rsidRDefault="00C41D9E" w:rsidP="00C41D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газ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бронювання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потужності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газу,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D9E" w:rsidRPr="00526388" w:rsidRDefault="00C41D9E" w:rsidP="00C41D9E">
      <w:pPr>
        <w:tabs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зобов’язується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запасу природного газу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запасу природного газу (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листопада 2016 р. № 860).</w:t>
      </w:r>
    </w:p>
    <w:p w:rsidR="00C41D9E" w:rsidRPr="00526388" w:rsidRDefault="00C41D9E" w:rsidP="00C41D9E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2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6.Місце поставки Товару</w:t>
      </w:r>
      <w:r w:rsidRPr="0052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3404"/>
        <w:gridCol w:w="1666"/>
      </w:tblGrid>
      <w:tr w:rsidR="00C41D9E" w:rsidRPr="00B9284E" w:rsidTr="00BE4CF2"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суду</w:t>
            </w:r>
          </w:p>
        </w:tc>
        <w:tc>
          <w:tcPr>
            <w:tcW w:w="340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666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Обсяги, тис. м</w:t>
            </w:r>
            <w:r w:rsidRPr="00B928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C41D9E" w:rsidRPr="00B9284E" w:rsidTr="00BE4CF2"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Бобринецький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суд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404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м.Бобринець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 Миколаївська, 80</w:t>
            </w:r>
          </w:p>
        </w:tc>
        <w:tc>
          <w:tcPr>
            <w:tcW w:w="1666" w:type="dxa"/>
            <w:shd w:val="clear" w:color="auto" w:fill="auto"/>
          </w:tcPr>
          <w:p w:rsidR="00C41D9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6,74</w:t>
            </w:r>
          </w:p>
          <w:p w:rsidR="00C41D9E" w:rsidRPr="002B10A4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1D9E" w:rsidRPr="00B9284E" w:rsidTr="00BE4CF2">
        <w:trPr>
          <w:trHeight w:val="627"/>
        </w:trPr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Кіровоградський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районний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 суд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Кіровоградської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області</w:t>
            </w:r>
            <w:proofErr w:type="spellEnd"/>
          </w:p>
        </w:tc>
        <w:tc>
          <w:tcPr>
            <w:tcW w:w="3404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Кропивницький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Кільцева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36-а, 36-б</w:t>
            </w:r>
          </w:p>
        </w:tc>
        <w:tc>
          <w:tcPr>
            <w:tcW w:w="1666" w:type="dxa"/>
            <w:shd w:val="clear" w:color="auto" w:fill="auto"/>
          </w:tcPr>
          <w:p w:rsidR="00C41D9E" w:rsidRPr="002B10A4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12,62</w:t>
            </w:r>
          </w:p>
        </w:tc>
      </w:tr>
      <w:tr w:rsidR="00C41D9E" w:rsidRPr="00B9284E" w:rsidTr="00BE4CF2"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Компаніївський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суд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404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смт.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Компаніївка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Вишнева, 21</w:t>
            </w:r>
          </w:p>
        </w:tc>
        <w:tc>
          <w:tcPr>
            <w:tcW w:w="1666" w:type="dxa"/>
            <w:shd w:val="clear" w:color="auto" w:fill="auto"/>
          </w:tcPr>
          <w:p w:rsidR="00C41D9E" w:rsidRPr="002B10A4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6,66</w:t>
            </w:r>
          </w:p>
        </w:tc>
      </w:tr>
      <w:tr w:rsidR="00C41D9E" w:rsidRPr="00B9284E" w:rsidTr="00BE4CF2"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Новгородківський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суд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404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с.м.т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Новгородка,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126</w:t>
            </w:r>
          </w:p>
        </w:tc>
        <w:tc>
          <w:tcPr>
            <w:tcW w:w="1666" w:type="dxa"/>
            <w:shd w:val="clear" w:color="auto" w:fill="auto"/>
          </w:tcPr>
          <w:p w:rsidR="00C41D9E" w:rsidRPr="002B10A4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5,66</w:t>
            </w:r>
          </w:p>
        </w:tc>
      </w:tr>
      <w:tr w:rsidR="00C41D9E" w:rsidRPr="00B9284E" w:rsidTr="00BE4CF2"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Новомиргородський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суд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404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Новомиргород,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Соборності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157</w:t>
            </w:r>
          </w:p>
        </w:tc>
        <w:tc>
          <w:tcPr>
            <w:tcW w:w="1666" w:type="dxa"/>
            <w:shd w:val="clear" w:color="auto" w:fill="auto"/>
          </w:tcPr>
          <w:p w:rsidR="00C41D9E" w:rsidRPr="002B10A4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12,53</w:t>
            </w:r>
          </w:p>
        </w:tc>
      </w:tr>
      <w:tr w:rsidR="00C41D9E" w:rsidRPr="00B9284E" w:rsidTr="00BE4CF2"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Олександрівський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суд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404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с.м.т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Олександрівка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Вишнева, 21</w:t>
            </w:r>
          </w:p>
        </w:tc>
        <w:tc>
          <w:tcPr>
            <w:tcW w:w="1666" w:type="dxa"/>
            <w:shd w:val="clear" w:color="auto" w:fill="auto"/>
          </w:tcPr>
          <w:p w:rsidR="00C41D9E" w:rsidRPr="002B10A4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6,50</w:t>
            </w:r>
          </w:p>
        </w:tc>
      </w:tr>
      <w:tr w:rsidR="00C41D9E" w:rsidRPr="00B9284E" w:rsidTr="00BE4CF2"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Онуфріївський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суд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404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с.м.т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Онуфріївка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Назаренка, 23</w:t>
            </w:r>
          </w:p>
        </w:tc>
        <w:tc>
          <w:tcPr>
            <w:tcW w:w="1666" w:type="dxa"/>
            <w:shd w:val="clear" w:color="auto" w:fill="auto"/>
          </w:tcPr>
          <w:p w:rsidR="00C41D9E" w:rsidRPr="002B10A4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6,33</w:t>
            </w:r>
          </w:p>
        </w:tc>
      </w:tr>
      <w:tr w:rsidR="00C41D9E" w:rsidRPr="00B9284E" w:rsidTr="00BE4CF2">
        <w:tc>
          <w:tcPr>
            <w:tcW w:w="534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C41D9E" w:rsidRPr="00B9284E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Петрівський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суд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84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404" w:type="dxa"/>
            <w:shd w:val="clear" w:color="auto" w:fill="auto"/>
            <w:vAlign w:val="bottom"/>
          </w:tcPr>
          <w:p w:rsidR="00C41D9E" w:rsidRPr="00B9284E" w:rsidRDefault="00C41D9E" w:rsidP="00BE4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с.м.т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Петрове, </w:t>
            </w:r>
            <w:proofErr w:type="spellStart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B9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Центральна, 34</w:t>
            </w:r>
          </w:p>
        </w:tc>
        <w:tc>
          <w:tcPr>
            <w:tcW w:w="1666" w:type="dxa"/>
            <w:shd w:val="clear" w:color="auto" w:fill="auto"/>
          </w:tcPr>
          <w:p w:rsidR="00C41D9E" w:rsidRPr="002B10A4" w:rsidRDefault="00C41D9E" w:rsidP="00BE4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13,08</w:t>
            </w:r>
          </w:p>
        </w:tc>
      </w:tr>
      <w:tr w:rsidR="00C41D9E" w:rsidRPr="00B9284E" w:rsidTr="00BE4CF2">
        <w:tc>
          <w:tcPr>
            <w:tcW w:w="7907" w:type="dxa"/>
            <w:gridSpan w:val="3"/>
            <w:shd w:val="clear" w:color="auto" w:fill="auto"/>
          </w:tcPr>
          <w:p w:rsidR="00C41D9E" w:rsidRPr="00B9284E" w:rsidRDefault="00C41D9E" w:rsidP="00BE4C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928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666" w:type="dxa"/>
            <w:shd w:val="clear" w:color="auto" w:fill="auto"/>
          </w:tcPr>
          <w:p w:rsidR="00C41D9E" w:rsidRPr="00997777" w:rsidRDefault="00C41D9E" w:rsidP="00BE4C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70,12</w:t>
            </w:r>
          </w:p>
        </w:tc>
      </w:tr>
    </w:tbl>
    <w:p w:rsidR="00C41D9E" w:rsidRPr="00724ADC" w:rsidRDefault="00C41D9E" w:rsidP="00C41D9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  <w:t>7</w:t>
      </w:r>
      <w:r w:rsidRPr="00724ADC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.</w:t>
      </w:r>
      <w:r w:rsidRPr="00724AD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4ADC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Ціна на газ встановлюється Учасником у відповідності до ст.12 Закону України «Про ринок природного газу» та має бути остаточною, включаючи вартість витрат, пов’язаних з постачанням газу до точки входу і виходу в газорозподільну систему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ВАТ «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Кіровоградгаз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»</w:t>
      </w:r>
      <w:r w:rsidRPr="00724ADC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до якої підключено об’єкти Замовника, а саме ціна включає витрати щодо транспортування природного газу для точок входу і виходу у відповідності з тарифами, що встановлені згідно постанови НКРЕКП від 24.12.2019 р. №3013, податок на додану вартість та інші податки і збори, передбачені податковим законодавством та не включати до вартості тендерної пропозиції вартість послуг з розподілу природного газу та будь-які витрати, понесені учасником у процесі здійснення процедури закупівлі та укладення договору про закупівлю </w:t>
      </w:r>
    </w:p>
    <w:p w:rsidR="00C41D9E" w:rsidRPr="00724ADC" w:rsidRDefault="00C41D9E" w:rsidP="00C41D9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  <w:t>8</w:t>
      </w:r>
      <w:r w:rsidRPr="00724ADC"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  <w:t xml:space="preserve">. </w:t>
      </w:r>
      <w:r w:rsidRPr="00724ADC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Строк (термін) поставки (передачі) товару: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1</w:t>
      </w:r>
      <w:bookmarkStart w:id="0" w:name="_GoBack"/>
      <w:bookmarkEnd w:id="0"/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5.03.2021- </w:t>
      </w:r>
      <w:r w:rsidRPr="00724ADC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31.12.2021 р. </w:t>
      </w:r>
    </w:p>
    <w:p w:rsidR="00C41D9E" w:rsidRPr="00724ADC" w:rsidRDefault="00C41D9E" w:rsidP="00C41D9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  <w:t>9</w:t>
      </w:r>
      <w:r w:rsidRPr="00724ADC"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Pr="00724ADC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Учасник поставляє газ до пункту призначення з гарантованим рівнем надійності, безпеки, якості та величини його тиску.</w:t>
      </w:r>
    </w:p>
    <w:p w:rsidR="00C41D9E" w:rsidRPr="00724ADC" w:rsidRDefault="00C41D9E" w:rsidP="00C41D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11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442169,76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1116">
        <w:rPr>
          <w:rFonts w:ascii="Times New Roman" w:hAnsi="Times New Roman" w:cs="Times New Roman"/>
          <w:sz w:val="24"/>
          <w:szCs w:val="24"/>
        </w:rPr>
        <w:t>грн.з</w:t>
      </w:r>
      <w:proofErr w:type="spellEnd"/>
      <w:proofErr w:type="gramEnd"/>
      <w:r w:rsidRPr="00EF1116">
        <w:rPr>
          <w:rFonts w:ascii="Times New Roman" w:hAnsi="Times New Roman" w:cs="Times New Roman"/>
          <w:sz w:val="24"/>
          <w:szCs w:val="24"/>
        </w:rPr>
        <w:t xml:space="preserve"> ПДВ./</w:t>
      </w:r>
    </w:p>
    <w:p w:rsidR="008749DD" w:rsidRDefault="008749DD"/>
    <w:sectPr w:rsidR="008749DD">
      <w:pgSz w:w="11906" w:h="16838"/>
      <w:pgMar w:top="1134" w:right="850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471F3"/>
    <w:multiLevelType w:val="multilevel"/>
    <w:tmpl w:val="94F86B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737" w:hanging="737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B8"/>
    <w:rsid w:val="004F4BB8"/>
    <w:rsid w:val="008749DD"/>
    <w:rsid w:val="00A27F6E"/>
    <w:rsid w:val="00C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153"/>
  <w15:chartTrackingRefBased/>
  <w15:docId w15:val="{415726BC-EDBB-413F-9A0A-AD264E5E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9E"/>
    <w:pPr>
      <w:suppressAutoHyphens/>
    </w:pPr>
    <w:rPr>
      <w:rFonts w:ascii="Calibri" w:eastAsia="SimSun" w:hAnsi="Calibri" w:cs="font28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apiid">
    <w:name w:val="js-apiid"/>
    <w:basedOn w:val="a0"/>
    <w:rsid w:val="00C4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2-12-0044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2580</Words>
  <Characters>1472</Characters>
  <Application>Microsoft Office Word</Application>
  <DocSecurity>0</DocSecurity>
  <Lines>12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2023-01-31T09:15:00Z</dcterms:created>
  <dcterms:modified xsi:type="dcterms:W3CDTF">2023-01-31T09:16:00Z</dcterms:modified>
</cp:coreProperties>
</file>