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991805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</w:r>
      <w:r w:rsidR="002D1259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від</w:t>
      </w:r>
      <w:r w:rsidR="00D43D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</w:t>
      </w:r>
      <w:r w:rsidR="00511638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</w:t>
      </w:r>
      <w:r w:rsidR="00991805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511638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135ACF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511638" w:rsidRPr="009918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43D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</w:t>
      </w:r>
      <w:bookmarkStart w:id="0" w:name="_GoBack"/>
      <w:bookmarkEnd w:id="0"/>
    </w:p>
    <w:p w:rsid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1D0A" w:rsidRPr="00326A9D" w:rsidRDefault="00CA1D0A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F9615A" w:rsidRDefault="00705451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начальника </w:t>
      </w:r>
      <w:r w:rsidR="00FC61B2">
        <w:rPr>
          <w:rFonts w:ascii="Times New Roman" w:hAnsi="Times New Roman"/>
          <w:b/>
          <w:sz w:val="28"/>
          <w:szCs w:val="24"/>
          <w:lang w:eastAsia="ru-RU"/>
        </w:rPr>
        <w:t>відділу оперативно-чергової служби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26A9D"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="00326A9D"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FC61B2" w:rsidRPr="00F9615A" w:rsidRDefault="00FC61B2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326A9D" w:rsidRPr="00326A9D" w:rsidTr="00714A5A">
        <w:trPr>
          <w:trHeight w:val="408"/>
        </w:trPr>
        <w:tc>
          <w:tcPr>
            <w:tcW w:w="9639" w:type="dxa"/>
            <w:gridSpan w:val="2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2"/>
          </w:tcPr>
          <w:p w:rsidR="00326A9D" w:rsidRPr="00326A9D" w:rsidRDefault="00326A9D" w:rsidP="009F47FB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="00FC61B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начальника відділу оперативно-чергової служби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2"/>
          </w:tcPr>
          <w:p w:rsidR="00E5395E" w:rsidRPr="00E5395E" w:rsidRDefault="00E5395E" w:rsidP="00E53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72399635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      </w:r>
            <w:r w:rsidRPr="00E539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E5395E" w:rsidRPr="00E5395E" w:rsidRDefault="00E5395E" w:rsidP="00E53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539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самоврядування, іншими організаціями; </w:t>
            </w:r>
          </w:p>
          <w:p w:rsidR="00E5395E" w:rsidRPr="00E5395E" w:rsidRDefault="00E5395E" w:rsidP="00E53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539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E5395E" w:rsidRPr="00E5395E" w:rsidRDefault="00E5395E" w:rsidP="00E5395E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Hlk72399701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бере участь у розробленні </w:t>
            </w:r>
            <w:proofErr w:type="spellStart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E539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службової документації з питань служби;</w:t>
            </w:r>
          </w:p>
          <w:p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застосовує зброю та спеціальні засоби в порядку та у випадках, визначених Законом України «Про Національну поліцію»;</w:t>
            </w:r>
          </w:p>
          <w:p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      </w:r>
          </w:p>
          <w:p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організовує оповіщення за сигналами Управління;</w:t>
            </w:r>
          </w:p>
          <w:p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      </w:r>
          </w:p>
          <w:p w:rsidR="00E5395E" w:rsidRPr="00E5395E" w:rsidRDefault="00E5395E" w:rsidP="00E539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за дорученням керівництва Управління виконує інші повноваження, які належать до компетенції служби.</w:t>
            </w:r>
          </w:p>
          <w:bookmarkEnd w:id="1"/>
          <w:bookmarkEnd w:id="2"/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tbl>
            <w:tblPr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326A9D" w:rsidRPr="00326A9D" w:rsidTr="007B69B9">
              <w:trPr>
                <w:trHeight w:val="408"/>
              </w:trPr>
              <w:tc>
                <w:tcPr>
                  <w:tcW w:w="9529" w:type="dxa"/>
                  <w:hideMark/>
                </w:tcPr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 Умови оплати праці:</w:t>
                  </w:r>
                </w:p>
              </w:tc>
            </w:tr>
            <w:tr w:rsidR="00326A9D" w:rsidRPr="00326A9D" w:rsidTr="007B69B9">
              <w:trPr>
                <w:trHeight w:val="408"/>
              </w:trPr>
              <w:tc>
                <w:tcPr>
                  <w:tcW w:w="9529" w:type="dxa"/>
                  <w:hideMark/>
                </w:tcPr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</w:t>
                  </w:r>
                  <w:r w:rsidR="00E5395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7890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</w:t>
                  </w:r>
                  <w:r w:rsidR="000F51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грудня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2019 </w:t>
                  </w:r>
                  <w:r w:rsidR="000F51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року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№ 281 «Про установлення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B69B9">
              <w:trPr>
                <w:trHeight w:val="408"/>
              </w:trPr>
              <w:tc>
                <w:tcPr>
                  <w:tcW w:w="9529" w:type="dxa"/>
                </w:tcPr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B69B9">
              <w:trPr>
                <w:trHeight w:val="408"/>
              </w:trPr>
              <w:tc>
                <w:tcPr>
                  <w:tcW w:w="9529" w:type="dxa"/>
                  <w:hideMark/>
                </w:tcPr>
                <w:p w:rsidR="00326A9D" w:rsidRPr="00E842D6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  <w:proofErr w:type="spellStart"/>
                  <w:r w:rsidR="00E842D6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uk-UA"/>
                    </w:rPr>
                    <w:t>безстроково</w:t>
                  </w:r>
                  <w:proofErr w:type="spellEnd"/>
                  <w:r w:rsidR="00E842D6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uk-UA"/>
                    </w:rPr>
                    <w:t>.</w:t>
                  </w:r>
                </w:p>
              </w:tc>
            </w:tr>
            <w:tr w:rsidR="00326A9D" w:rsidRPr="00326A9D" w:rsidTr="007B69B9">
              <w:trPr>
                <w:trHeight w:val="319"/>
              </w:trPr>
              <w:tc>
                <w:tcPr>
                  <w:tcW w:w="9529" w:type="dxa"/>
                </w:tcPr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B69B9">
              <w:trPr>
                <w:trHeight w:val="408"/>
              </w:trPr>
              <w:tc>
                <w:tcPr>
                  <w:tcW w:w="9529" w:type="dxa"/>
                </w:tcPr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7) медична довідка про стан здоров’я</w:t>
                  </w:r>
                  <w:r w:rsidR="000F51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довільної форми (про те, що кандидату не протипоказані фізичні навантаження)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74122" w:rsidRDefault="007D297F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</w:t>
                  </w:r>
                  <w:r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 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08.00 год.</w:t>
                  </w:r>
                  <w:r w:rsidR="00FE1F1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C068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</w:t>
                  </w:r>
                  <w:r w:rsidR="00374122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7619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лютого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916B59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9A307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C068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7B69B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  <w:r w:rsidR="00374122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07B3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лютого</w:t>
                  </w:r>
                  <w:r w:rsidR="005378D8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202</w:t>
                  </w:r>
                  <w:r w:rsidR="00135AC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року, за адресою: м. </w:t>
                  </w:r>
                  <w:r w:rsidR="00BE560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0F51F0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B963B7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начальника відділу оперативно-чергової служби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7B69B9">
                  <w:pPr>
                    <w:spacing w:after="0" w:line="240" w:lineRule="auto"/>
                    <w:ind w:right="27" w:firstLine="60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819B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28</w:t>
                  </w:r>
                  <w:r w:rsidR="00CA3AF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74122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лютого</w:t>
                  </w:r>
                  <w:r w:rsidR="00135AC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560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202</w:t>
                  </w:r>
                  <w:r w:rsidR="00135ACF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BE560B" w:rsidRPr="0037412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року з 08.</w:t>
                  </w:r>
                  <w:r w:rsidR="00CE02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7B69B9">
            <w:pPr>
              <w:spacing w:after="0" w:line="240" w:lineRule="auto"/>
              <w:ind w:right="27" w:firstLine="60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CE0245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Філатьєва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Вячеславівна</w:t>
            </w:r>
            <w:proofErr w:type="spellEnd"/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C79C8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2043BF">
              <w:rPr>
                <w:rFonts w:ascii="Times New Roman" w:hAnsi="Times New Roman"/>
                <w:sz w:val="28"/>
                <w:szCs w:val="28"/>
                <w:lang w:eastAsia="ru-RU"/>
              </w:rPr>
              <w:t> -710-46-03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C79C8" w:rsidRPr="00CC79C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="00CC79C8" w:rsidRPr="00CC79C8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6" w:history="1">
              <w:r w:rsidR="00CC79C8" w:rsidRPr="00AA237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kr</w:t>
              </w:r>
              <w:r w:rsidR="00CC79C8" w:rsidRPr="00AA237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28" w:type="dxa"/>
          </w:tcPr>
          <w:p w:rsidR="00326A9D" w:rsidRPr="00326A9D" w:rsidRDefault="00B963B7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Вища за однією з галузей знань</w:t>
            </w:r>
            <w:r w:rsidRPr="00B963B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«Право», «Воєнні науки, національна безпека, безпека державного кордону», «Управління та адміністрування», «Цивільна безпека», «Інформаційні технології», ступінь вищої освіти - магістр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28" w:type="dxa"/>
          </w:tcPr>
          <w:p w:rsid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досвід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проходження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служби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органах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влади, органах системи правосуддя, правоохоронних органах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військових формуваннях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-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менше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ніж 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</w:t>
            </w:r>
            <w:r w:rsidR="00B963B7">
              <w:rPr>
                <w:rFonts w:ascii="Times New Roman" w:hAnsi="Times New Roman"/>
                <w:sz w:val="28"/>
                <w:szCs w:val="28"/>
                <w:lang w:eastAsia="ru-RU"/>
              </w:rPr>
              <w:t>ів</w:t>
            </w:r>
            <w:r w:rsidR="00B963B7" w:rsidRPr="00B963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326A9D" w:rsidRPr="00326A9D" w:rsidRDefault="00B963B7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керівних посадах за відповідним напрямком діяльності – не менше ніж 3 роки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28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 w:rsidR="0046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F47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надати підтверджуючий документ </w:t>
            </w:r>
            <w:r w:rsidR="004628A3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</w:t>
            </w:r>
            <w:r w:rsidR="00991805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46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сертифікат про рівень володіння державною мовою, що видається Національною комісією зі стандартів державної мови)</w:t>
            </w:r>
            <w:r w:rsidR="00DD0DE0" w:rsidRPr="00DD0DE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528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528" w:type="dxa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2C7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рівне ставлення та повага до колег. 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528" w:type="dxa"/>
            <w:shd w:val="clear" w:color="auto" w:fill="FFFFFF"/>
          </w:tcPr>
          <w:p w:rsidR="00326A9D" w:rsidRPr="00326A9D" w:rsidRDefault="00991805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датність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5528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528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326A9D" w:rsidRPr="00326A9D" w:rsidTr="007B69B9">
        <w:trPr>
          <w:trHeight w:val="408"/>
        </w:trPr>
        <w:tc>
          <w:tcPr>
            <w:tcW w:w="9639" w:type="dxa"/>
            <w:gridSpan w:val="2"/>
          </w:tcPr>
          <w:p w:rsidR="007B69B9" w:rsidRDefault="007B69B9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7B69B9" w:rsidRPr="00326A9D" w:rsidRDefault="007B69B9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528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326A9D" w:rsidRPr="00326A9D" w:rsidTr="007B69B9">
        <w:trPr>
          <w:trHeight w:val="408"/>
        </w:trPr>
        <w:tc>
          <w:tcPr>
            <w:tcW w:w="4111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528" w:type="dxa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7B69B9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</w:tc>
      </w:tr>
    </w:tbl>
    <w:p w:rsidR="00991805" w:rsidRDefault="0099180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7B69B9" w:rsidRDefault="007B69B9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2C7B59" w:rsidRPr="00991805" w:rsidRDefault="002043BF" w:rsidP="00991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991805" w:rsidRPr="00991805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91805" w:rsidRPr="00991805">
        <w:rPr>
          <w:rFonts w:ascii="Times New Roman" w:hAnsi="Times New Roman"/>
          <w:sz w:val="28"/>
          <w:szCs w:val="28"/>
          <w:lang w:eastAsia="ru-RU"/>
        </w:rPr>
        <w:t xml:space="preserve"> ВРП ТУ ССО</w:t>
      </w:r>
    </w:p>
    <w:p w:rsidR="00991805" w:rsidRPr="00991805" w:rsidRDefault="00991805" w:rsidP="00991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1805">
        <w:rPr>
          <w:rFonts w:ascii="Times New Roman" w:hAnsi="Times New Roman"/>
          <w:sz w:val="28"/>
          <w:szCs w:val="28"/>
          <w:lang w:eastAsia="ru-RU"/>
        </w:rPr>
        <w:t>у Кіровоградській області</w:t>
      </w:r>
    </w:p>
    <w:p w:rsidR="00991805" w:rsidRPr="00991805" w:rsidRDefault="00991805" w:rsidP="00991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1805">
        <w:rPr>
          <w:rFonts w:ascii="Times New Roman" w:hAnsi="Times New Roman"/>
          <w:sz w:val="28"/>
          <w:szCs w:val="28"/>
          <w:lang w:eastAsia="ru-RU"/>
        </w:rPr>
        <w:t>майор Служби судової охорони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2043BF">
        <w:rPr>
          <w:rFonts w:ascii="Times New Roman" w:hAnsi="Times New Roman"/>
          <w:b/>
          <w:sz w:val="28"/>
          <w:szCs w:val="28"/>
          <w:lang w:eastAsia="ru-RU"/>
        </w:rPr>
        <w:t>Марина ФІЛАТЬЄВА</w:t>
      </w:r>
    </w:p>
    <w:p w:rsidR="002C7B59" w:rsidRDefault="002C7B59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2C7B59" w:rsidRDefault="002C7B59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sectPr w:rsidR="002C7B59" w:rsidSect="007B69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36FF6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0F51F0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2729A"/>
    <w:rsid w:val="00130101"/>
    <w:rsid w:val="00134474"/>
    <w:rsid w:val="00135ACF"/>
    <w:rsid w:val="0014049B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75C4"/>
    <w:rsid w:val="001D01C5"/>
    <w:rsid w:val="001D11CE"/>
    <w:rsid w:val="001D2336"/>
    <w:rsid w:val="001D2D8D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3BF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4571"/>
    <w:rsid w:val="002C7AD1"/>
    <w:rsid w:val="002C7B59"/>
    <w:rsid w:val="002D1259"/>
    <w:rsid w:val="002D2436"/>
    <w:rsid w:val="002D45E1"/>
    <w:rsid w:val="002E24E8"/>
    <w:rsid w:val="002E6BDD"/>
    <w:rsid w:val="002F2AA5"/>
    <w:rsid w:val="00302E80"/>
    <w:rsid w:val="003063BC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2583"/>
    <w:rsid w:val="0041603F"/>
    <w:rsid w:val="0041667C"/>
    <w:rsid w:val="00416B46"/>
    <w:rsid w:val="00421E98"/>
    <w:rsid w:val="0042476B"/>
    <w:rsid w:val="004319AE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28A3"/>
    <w:rsid w:val="00464A25"/>
    <w:rsid w:val="004651FF"/>
    <w:rsid w:val="00471657"/>
    <w:rsid w:val="00484395"/>
    <w:rsid w:val="00484CD5"/>
    <w:rsid w:val="004926D6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1638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B3C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F144F"/>
    <w:rsid w:val="006F1752"/>
    <w:rsid w:val="006F2FBB"/>
    <w:rsid w:val="006F355F"/>
    <w:rsid w:val="006F5E49"/>
    <w:rsid w:val="0070062D"/>
    <w:rsid w:val="00700CE0"/>
    <w:rsid w:val="007015AA"/>
    <w:rsid w:val="00703B89"/>
    <w:rsid w:val="00705451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B69B9"/>
    <w:rsid w:val="007C068B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4E73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76199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05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013B"/>
    <w:rsid w:val="00B719BE"/>
    <w:rsid w:val="00B727DC"/>
    <w:rsid w:val="00B74FBD"/>
    <w:rsid w:val="00B75CD8"/>
    <w:rsid w:val="00B77181"/>
    <w:rsid w:val="00B80464"/>
    <w:rsid w:val="00B819B7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963B7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3017"/>
    <w:rsid w:val="00C85B23"/>
    <w:rsid w:val="00C8601D"/>
    <w:rsid w:val="00C91B7E"/>
    <w:rsid w:val="00C94A7D"/>
    <w:rsid w:val="00C9595D"/>
    <w:rsid w:val="00C96F90"/>
    <w:rsid w:val="00CA1D0A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C79C8"/>
    <w:rsid w:val="00CD0512"/>
    <w:rsid w:val="00CD0C59"/>
    <w:rsid w:val="00CD3D23"/>
    <w:rsid w:val="00CD69A7"/>
    <w:rsid w:val="00CD738E"/>
    <w:rsid w:val="00CE0245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43DED"/>
    <w:rsid w:val="00D50650"/>
    <w:rsid w:val="00D54E9F"/>
    <w:rsid w:val="00D55334"/>
    <w:rsid w:val="00D55C85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395E"/>
    <w:rsid w:val="00E545EC"/>
    <w:rsid w:val="00E54C1D"/>
    <w:rsid w:val="00E57A6E"/>
    <w:rsid w:val="00E61AEE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C61B2"/>
    <w:rsid w:val="00FD06EA"/>
    <w:rsid w:val="00FD1A49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E8697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Unresolved Mention"/>
    <w:basedOn w:val="a0"/>
    <w:uiPriority w:val="99"/>
    <w:semiHidden/>
    <w:unhideWhenUsed/>
    <w:rsid w:val="00CC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7DAD-D5FC-48B7-92A8-DEF5F21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73</cp:revision>
  <cp:lastPrinted>2021-07-26T11:17:00Z</cp:lastPrinted>
  <dcterms:created xsi:type="dcterms:W3CDTF">2020-11-05T13:53:00Z</dcterms:created>
  <dcterms:modified xsi:type="dcterms:W3CDTF">2022-02-21T07:14:00Z</dcterms:modified>
</cp:coreProperties>
</file>